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8CBC" w14:textId="159F5EBF"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Pr>
          <w:rFonts w:ascii="Arial" w:eastAsia="Times New Roman" w:hAnsi="Arial" w:cs="Arial"/>
          <w:color w:val="222222"/>
          <w:kern w:val="0"/>
          <w:sz w:val="24"/>
          <w:szCs w:val="24"/>
          <w:lang w:eastAsia="pt-BR"/>
          <w14:ligatures w14:val="none"/>
        </w:rPr>
        <w:t>Respostas ao Pedido de Esclarecimento Nº 3</w:t>
      </w:r>
    </w:p>
    <w:p w14:paraId="2A44E67C"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222222"/>
          <w:kern w:val="0"/>
          <w:sz w:val="24"/>
          <w:szCs w:val="24"/>
          <w:lang w:eastAsia="pt-BR"/>
          <w14:ligatures w14:val="none"/>
        </w:rPr>
        <w:t> </w:t>
      </w:r>
    </w:p>
    <w:p w14:paraId="304AE2E3" w14:textId="00C75A12"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Pr>
          <w:rFonts w:ascii="Arial" w:eastAsia="Times New Roman" w:hAnsi="Arial" w:cs="Arial"/>
          <w:color w:val="222222"/>
          <w:kern w:val="0"/>
          <w:sz w:val="24"/>
          <w:szCs w:val="24"/>
          <w:lang w:eastAsia="pt-BR"/>
          <w14:ligatures w14:val="none"/>
        </w:rPr>
        <w:t>Seguem respostas ao pedido de esclarecimento conforme entendimento da área técnica.</w:t>
      </w:r>
    </w:p>
    <w:p w14:paraId="43EEEF03"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 </w:t>
      </w:r>
    </w:p>
    <w:p w14:paraId="40542A0B"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b/>
          <w:bCs/>
          <w:color w:val="500050"/>
          <w:kern w:val="0"/>
          <w:sz w:val="24"/>
          <w:szCs w:val="24"/>
          <w:shd w:val="clear" w:color="auto" w:fill="FFFFFF"/>
          <w:lang w:eastAsia="pt-BR"/>
          <w14:ligatures w14:val="none"/>
        </w:rPr>
        <w:t>1 – QUESTIONAMENTO</w:t>
      </w:r>
    </w:p>
    <w:p w14:paraId="77DDCDAC"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Conforme nosso entendimento sobre o </w:t>
      </w:r>
      <w:r w:rsidRPr="00C07882">
        <w:rPr>
          <w:rFonts w:ascii="Arial" w:eastAsia="Times New Roman" w:hAnsi="Arial" w:cs="Arial"/>
          <w:b/>
          <w:bCs/>
          <w:color w:val="500050"/>
          <w:kern w:val="0"/>
          <w:sz w:val="24"/>
          <w:szCs w:val="24"/>
          <w:shd w:val="clear" w:color="auto" w:fill="FFFFFF"/>
          <w:lang w:eastAsia="pt-BR"/>
          <w14:ligatures w14:val="none"/>
        </w:rPr>
        <w:t>Termo de Referência:  4. Requisitos da Contratação: 4.1. Requisito de Negócio: – 4.1.9 – </w:t>
      </w:r>
      <w:r w:rsidRPr="00C07882">
        <w:rPr>
          <w:rFonts w:ascii="Arial" w:eastAsia="Times New Roman" w:hAnsi="Arial" w:cs="Arial"/>
          <w:color w:val="500050"/>
          <w:kern w:val="0"/>
          <w:sz w:val="24"/>
          <w:szCs w:val="24"/>
          <w:shd w:val="clear" w:color="auto" w:fill="FFFFFF"/>
          <w:lang w:eastAsia="pt-BR"/>
          <w14:ligatures w14:val="none"/>
        </w:rPr>
        <w:t>o aplicativo poderá ser instalado nas estações dos usuários, com o OCR embarcado no equipamento. Nosso entendimento está correto?</w:t>
      </w:r>
    </w:p>
    <w:p w14:paraId="13282BFC"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1F4E79"/>
          <w:kern w:val="0"/>
          <w:sz w:val="24"/>
          <w:szCs w:val="24"/>
          <w:lang w:eastAsia="pt-BR"/>
          <w14:ligatures w14:val="none"/>
        </w:rPr>
        <w:t>RESPOSTA: Não. Conforme descrito no item 4.1.9, “</w:t>
      </w:r>
      <w:r w:rsidRPr="00C07882">
        <w:rPr>
          <w:rFonts w:ascii="Arial" w:eastAsia="Times New Roman" w:hAnsi="Arial" w:cs="Arial"/>
          <w:i/>
          <w:iCs/>
          <w:color w:val="1F4E79"/>
          <w:kern w:val="0"/>
          <w:sz w:val="24"/>
          <w:szCs w:val="24"/>
          <w:lang w:eastAsia="pt-BR"/>
          <w14:ligatures w14:val="none"/>
        </w:rPr>
        <w:t>todos os equipamentos multifuncionais com capacidade de digitalização </w:t>
      </w:r>
      <w:r w:rsidRPr="00C07882">
        <w:rPr>
          <w:rFonts w:ascii="Arial" w:eastAsia="Times New Roman" w:hAnsi="Arial" w:cs="Arial"/>
          <w:b/>
          <w:bCs/>
          <w:i/>
          <w:iCs/>
          <w:color w:val="1F4E79"/>
          <w:kern w:val="0"/>
          <w:sz w:val="24"/>
          <w:szCs w:val="24"/>
          <w:lang w:eastAsia="pt-BR"/>
          <w14:ligatures w14:val="none"/>
        </w:rPr>
        <w:t>devem acompanhar aplicativo ou função OCR (</w:t>
      </w:r>
      <w:proofErr w:type="spellStart"/>
      <w:r w:rsidRPr="00C07882">
        <w:rPr>
          <w:rFonts w:ascii="Arial" w:eastAsia="Times New Roman" w:hAnsi="Arial" w:cs="Arial"/>
          <w:b/>
          <w:bCs/>
          <w:i/>
          <w:iCs/>
          <w:color w:val="1F4E79"/>
          <w:kern w:val="0"/>
          <w:sz w:val="24"/>
          <w:szCs w:val="24"/>
          <w:lang w:eastAsia="pt-BR"/>
          <w14:ligatures w14:val="none"/>
        </w:rPr>
        <w:t>Optical</w:t>
      </w:r>
      <w:proofErr w:type="spellEnd"/>
      <w:r w:rsidRPr="00C07882">
        <w:rPr>
          <w:rFonts w:ascii="Arial" w:eastAsia="Times New Roman" w:hAnsi="Arial" w:cs="Arial"/>
          <w:b/>
          <w:bCs/>
          <w:i/>
          <w:iCs/>
          <w:color w:val="1F4E79"/>
          <w:kern w:val="0"/>
          <w:sz w:val="24"/>
          <w:szCs w:val="24"/>
          <w:lang w:eastAsia="pt-BR"/>
          <w14:ligatures w14:val="none"/>
        </w:rPr>
        <w:t xml:space="preserve"> Character </w:t>
      </w:r>
      <w:proofErr w:type="spellStart"/>
      <w:r w:rsidRPr="00C07882">
        <w:rPr>
          <w:rFonts w:ascii="Arial" w:eastAsia="Times New Roman" w:hAnsi="Arial" w:cs="Arial"/>
          <w:b/>
          <w:bCs/>
          <w:i/>
          <w:iCs/>
          <w:color w:val="1F4E79"/>
          <w:kern w:val="0"/>
          <w:sz w:val="24"/>
          <w:szCs w:val="24"/>
          <w:lang w:eastAsia="pt-BR"/>
          <w14:ligatures w14:val="none"/>
        </w:rPr>
        <w:t>Recogniton</w:t>
      </w:r>
      <w:proofErr w:type="spellEnd"/>
      <w:r w:rsidRPr="00C07882">
        <w:rPr>
          <w:rFonts w:ascii="Arial" w:eastAsia="Times New Roman" w:hAnsi="Arial" w:cs="Arial"/>
          <w:b/>
          <w:bCs/>
          <w:i/>
          <w:iCs/>
          <w:color w:val="1F4E79"/>
          <w:kern w:val="0"/>
          <w:sz w:val="24"/>
          <w:szCs w:val="24"/>
          <w:lang w:eastAsia="pt-BR"/>
          <w14:ligatures w14:val="none"/>
        </w:rPr>
        <w:t>), </w:t>
      </w:r>
      <w:r w:rsidRPr="00C07882">
        <w:rPr>
          <w:rFonts w:ascii="Arial" w:eastAsia="Times New Roman" w:hAnsi="Arial" w:cs="Arial"/>
          <w:b/>
          <w:bCs/>
          <w:i/>
          <w:iCs/>
          <w:color w:val="1F4E79"/>
          <w:kern w:val="0"/>
          <w:sz w:val="24"/>
          <w:szCs w:val="24"/>
          <w:u w:val="single"/>
          <w:lang w:eastAsia="pt-BR"/>
          <w14:ligatures w14:val="none"/>
        </w:rPr>
        <w:t>embarcada no equipamento</w:t>
      </w:r>
      <w:r w:rsidRPr="00C07882">
        <w:rPr>
          <w:rFonts w:ascii="Arial" w:eastAsia="Times New Roman" w:hAnsi="Arial" w:cs="Arial"/>
          <w:i/>
          <w:iCs/>
          <w:color w:val="1F4E79"/>
          <w:kern w:val="0"/>
          <w:sz w:val="24"/>
          <w:szCs w:val="24"/>
          <w:lang w:eastAsia="pt-BR"/>
          <w14:ligatures w14:val="none"/>
        </w:rPr>
        <w:t> capaz de reconhecer o idioma português brasileiro, devidamente licenciado, obtendo como resultado da digitalização arquivo PDF/A pesquisável, automaticamente disponibilizado em diretório de rede e/ou e-mail do usuário.</w:t>
      </w:r>
      <w:r w:rsidRPr="00C07882">
        <w:rPr>
          <w:rFonts w:ascii="Arial" w:eastAsia="Times New Roman" w:hAnsi="Arial" w:cs="Arial"/>
          <w:color w:val="1F4E79"/>
          <w:kern w:val="0"/>
          <w:sz w:val="24"/>
          <w:szCs w:val="24"/>
          <w:lang w:eastAsia="pt-BR"/>
          <w14:ligatures w14:val="none"/>
        </w:rPr>
        <w:t>”</w:t>
      </w:r>
    </w:p>
    <w:p w14:paraId="072C16A0"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 </w:t>
      </w:r>
    </w:p>
    <w:p w14:paraId="416CB4D1"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b/>
          <w:bCs/>
          <w:color w:val="500050"/>
          <w:kern w:val="0"/>
          <w:sz w:val="24"/>
          <w:szCs w:val="24"/>
          <w:shd w:val="clear" w:color="auto" w:fill="FFFFFF"/>
          <w:lang w:eastAsia="pt-BR"/>
          <w14:ligatures w14:val="none"/>
        </w:rPr>
        <w:t>2 – QUESTIONAMENTO</w:t>
      </w:r>
    </w:p>
    <w:p w14:paraId="026194B7"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Conforme nosso entendimento sobre o </w:t>
      </w:r>
      <w:r w:rsidRPr="00C07882">
        <w:rPr>
          <w:rFonts w:ascii="Arial" w:eastAsia="Times New Roman" w:hAnsi="Arial" w:cs="Arial"/>
          <w:b/>
          <w:bCs/>
          <w:color w:val="500050"/>
          <w:kern w:val="0"/>
          <w:sz w:val="24"/>
          <w:szCs w:val="24"/>
          <w:shd w:val="clear" w:color="auto" w:fill="FFFFFF"/>
          <w:lang w:eastAsia="pt-BR"/>
          <w14:ligatures w14:val="none"/>
        </w:rPr>
        <w:t>Termo de Referência:  4. Requisitos da Contratação: 4.8. Requisitos de Arquitetura Tecnológica: </w:t>
      </w:r>
      <w:r w:rsidRPr="00C07882">
        <w:rPr>
          <w:rFonts w:ascii="Arial" w:eastAsia="Times New Roman" w:hAnsi="Arial" w:cs="Arial"/>
          <w:color w:val="500050"/>
          <w:kern w:val="0"/>
          <w:sz w:val="24"/>
          <w:szCs w:val="24"/>
          <w:shd w:val="clear" w:color="auto" w:fill="FFFFFF"/>
          <w:lang w:eastAsia="pt-BR"/>
          <w14:ligatures w14:val="none"/>
        </w:rPr>
        <w:t>o tipo II, é solicitado uma bandeja de entrada de 350 folhas. Com base na volumetria do projeto, entendemos que bandejas de 250 folhas atenderiam a necessidade dessa administração pública. Vale salientar que praticamente todos os fabricantes possuem na sua configuração, bandejas de 250 folhas, 500 folhas ou 550 folhas. Solicitamos a administração pública, a correção para a bandeja de 250 folhas, essa alteração não causa nenhuma perda tecnológica ou exclusão de qualquer licitante. Podemos seguir com esse entendimento?</w:t>
      </w:r>
    </w:p>
    <w:p w14:paraId="7492DB56" w14:textId="77777777" w:rsidR="00C07882" w:rsidRPr="00C07882" w:rsidRDefault="00C07882" w:rsidP="00C07882">
      <w:pPr>
        <w:shd w:val="clear" w:color="auto" w:fill="FFFFFF"/>
        <w:spacing w:before="100" w:beforeAutospacing="1" w:after="100" w:afterAutospacing="1"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1F4E79"/>
          <w:kern w:val="0"/>
          <w:sz w:val="24"/>
          <w:szCs w:val="24"/>
          <w:lang w:eastAsia="pt-BR"/>
          <w14:ligatures w14:val="none"/>
        </w:rPr>
        <w:t>RESPOSTA: Sim. A proposta de ajuste na capacidade da bandeja de entrada, fundamentada na análise da volumetria de impressão e na observação das práticas de mercado, não implica em restrições que excluam fabricantes ou limitações tecnológicas específicas. Ao contrário, a escolha de uma capacidade padrão amplamente disponível de 250 folhas assegura que múltiplos fornecedores, que oferecem soluções compatíveis, possam participar da licitação. Isso promove a competição saudável entre os licitantes, garantindo condições equitativas e favorecendo a obtenção da melhor oferta para a administração pública.</w:t>
      </w:r>
    </w:p>
    <w:p w14:paraId="40F56E8D"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 </w:t>
      </w:r>
    </w:p>
    <w:p w14:paraId="229EEED1"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b/>
          <w:bCs/>
          <w:color w:val="500050"/>
          <w:kern w:val="0"/>
          <w:sz w:val="24"/>
          <w:szCs w:val="24"/>
          <w:shd w:val="clear" w:color="auto" w:fill="FFFFFF"/>
          <w:lang w:eastAsia="pt-BR"/>
          <w14:ligatures w14:val="none"/>
        </w:rPr>
        <w:t>3 – QUESTIONAMENTO</w:t>
      </w:r>
    </w:p>
    <w:p w14:paraId="463C885D"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Conforme nosso entendimento sobre o </w:t>
      </w:r>
      <w:r w:rsidRPr="00C07882">
        <w:rPr>
          <w:rFonts w:ascii="Arial" w:eastAsia="Times New Roman" w:hAnsi="Arial" w:cs="Arial"/>
          <w:b/>
          <w:bCs/>
          <w:color w:val="500050"/>
          <w:kern w:val="0"/>
          <w:sz w:val="24"/>
          <w:szCs w:val="24"/>
          <w:shd w:val="clear" w:color="auto" w:fill="FFFFFF"/>
          <w:lang w:eastAsia="pt-BR"/>
          <w14:ligatures w14:val="none"/>
        </w:rPr>
        <w:t>Termo de Referência:  4. Requisitos da Contratação: 4.8. Requisitos de Arquitetura Tecnológica: </w:t>
      </w:r>
      <w:r w:rsidRPr="00C07882">
        <w:rPr>
          <w:rFonts w:ascii="Arial" w:eastAsia="Times New Roman" w:hAnsi="Arial" w:cs="Arial"/>
          <w:color w:val="500050"/>
          <w:kern w:val="0"/>
          <w:sz w:val="24"/>
          <w:szCs w:val="24"/>
          <w:shd w:val="clear" w:color="auto" w:fill="FFFFFF"/>
          <w:lang w:eastAsia="pt-BR"/>
          <w14:ligatures w14:val="none"/>
        </w:rPr>
        <w:t>o tipo II, é solicitado uma bandeja de saída de 200 folhas. Com base na volumetria do projeto, entendemos que bandejas de 150 folhas atenderiam a necessidade dessa administração pública. Vale salientar que praticamente todos os fabricantes possuem na sua configuração, bandejas de 150 folhas ou 250 folhas. Solicitamos a administração pública, a correção para a bandeja de 150 folhas, essa alteração não causa nenhuma perda tecnológica ou exclusão de qualquer licitante. Podemos seguir com esse entendimento?</w:t>
      </w:r>
    </w:p>
    <w:p w14:paraId="1B4839B8" w14:textId="77777777" w:rsidR="00C07882" w:rsidRPr="00C07882" w:rsidRDefault="00C07882" w:rsidP="00C07882">
      <w:pPr>
        <w:shd w:val="clear" w:color="auto" w:fill="FFFFFF"/>
        <w:spacing w:before="100" w:beforeAutospacing="1" w:after="100" w:afterAutospacing="1"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1F4E79"/>
          <w:kern w:val="0"/>
          <w:sz w:val="24"/>
          <w:szCs w:val="24"/>
          <w:lang w:eastAsia="pt-BR"/>
          <w14:ligatures w14:val="none"/>
        </w:rPr>
        <w:lastRenderedPageBreak/>
        <w:t>RESPOSTA:</w:t>
      </w:r>
      <w:r w:rsidRPr="00C07882">
        <w:rPr>
          <w:rFonts w:ascii="Arial" w:eastAsia="Times New Roman" w:hAnsi="Arial" w:cs="Arial"/>
          <w:color w:val="222222"/>
          <w:kern w:val="0"/>
          <w:sz w:val="24"/>
          <w:szCs w:val="24"/>
          <w:lang w:eastAsia="pt-BR"/>
          <w14:ligatures w14:val="none"/>
        </w:rPr>
        <w:t> Sim. </w:t>
      </w:r>
      <w:r w:rsidRPr="00C07882">
        <w:rPr>
          <w:rFonts w:ascii="Arial" w:eastAsia="Times New Roman" w:hAnsi="Arial" w:cs="Arial"/>
          <w:color w:val="1F4E79"/>
          <w:kern w:val="0"/>
          <w:sz w:val="24"/>
          <w:szCs w:val="24"/>
          <w:lang w:eastAsia="pt-BR"/>
          <w14:ligatures w14:val="none"/>
        </w:rPr>
        <w:t>A proposta de ajuste na capacidade da bandeja de saída, fundamentada na análise da volumetria de impressão e na observação das práticas de mercado, não implica em restrições que excluam fabricantes ou limitações tecnológicas específicas. Ao contrário, a escolha de uma capacidade padrão amplamente disponível de 150 folhas assegura que múltiplos fornecedores, que oferecem soluções compatíveis, possam participar da licitação. Isso promove a competição saudável entre os licitantes, garantindo condições equitativas e favorecendo a obtenção da melhor oferta para a administração pública.</w:t>
      </w:r>
    </w:p>
    <w:p w14:paraId="3CDB0AD5"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 </w:t>
      </w:r>
    </w:p>
    <w:p w14:paraId="3A3B4FB1"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b/>
          <w:bCs/>
          <w:color w:val="500050"/>
          <w:kern w:val="0"/>
          <w:sz w:val="24"/>
          <w:szCs w:val="24"/>
          <w:shd w:val="clear" w:color="auto" w:fill="FFFFFF"/>
          <w:lang w:eastAsia="pt-BR"/>
          <w14:ligatures w14:val="none"/>
        </w:rPr>
        <w:t>4 – QUESTIONAMENTO</w:t>
      </w:r>
    </w:p>
    <w:p w14:paraId="106D09A1" w14:textId="77777777" w:rsidR="00C07882" w:rsidRPr="00C07882" w:rsidRDefault="00C07882" w:rsidP="00C07882">
      <w:pPr>
        <w:spacing w:after="0" w:line="240" w:lineRule="auto"/>
        <w:rPr>
          <w:rFonts w:ascii="Arial" w:eastAsia="Times New Roman" w:hAnsi="Arial" w:cs="Arial"/>
          <w:color w:val="500050"/>
          <w:kern w:val="0"/>
          <w:sz w:val="24"/>
          <w:szCs w:val="24"/>
          <w:shd w:val="clear" w:color="auto" w:fill="FFFFFF"/>
          <w:lang w:eastAsia="pt-BR"/>
          <w14:ligatures w14:val="none"/>
        </w:rPr>
      </w:pPr>
      <w:r w:rsidRPr="00C07882">
        <w:rPr>
          <w:rFonts w:ascii="Arial" w:eastAsia="Times New Roman" w:hAnsi="Arial" w:cs="Arial"/>
          <w:color w:val="500050"/>
          <w:kern w:val="0"/>
          <w:sz w:val="24"/>
          <w:szCs w:val="24"/>
          <w:shd w:val="clear" w:color="auto" w:fill="FFFFFF"/>
          <w:lang w:eastAsia="pt-BR"/>
          <w14:ligatures w14:val="none"/>
        </w:rPr>
        <w:t>Conforme nosso entendimento sobre o </w:t>
      </w:r>
      <w:r w:rsidRPr="00C07882">
        <w:rPr>
          <w:rFonts w:ascii="Arial" w:eastAsia="Times New Roman" w:hAnsi="Arial" w:cs="Arial"/>
          <w:b/>
          <w:bCs/>
          <w:color w:val="500050"/>
          <w:kern w:val="0"/>
          <w:sz w:val="24"/>
          <w:szCs w:val="24"/>
          <w:shd w:val="clear" w:color="auto" w:fill="FFFFFF"/>
          <w:lang w:eastAsia="pt-BR"/>
          <w14:ligatures w14:val="none"/>
        </w:rPr>
        <w:t xml:space="preserve">Termo de Referência:  6. Demais Requisitos Necessários e Suficientes à escolha da solução de </w:t>
      </w:r>
      <w:proofErr w:type="gramStart"/>
      <w:r w:rsidRPr="00C07882">
        <w:rPr>
          <w:rFonts w:ascii="Arial" w:eastAsia="Times New Roman" w:hAnsi="Arial" w:cs="Arial"/>
          <w:b/>
          <w:bCs/>
          <w:color w:val="500050"/>
          <w:kern w:val="0"/>
          <w:sz w:val="24"/>
          <w:szCs w:val="24"/>
          <w:shd w:val="clear" w:color="auto" w:fill="FFFFFF"/>
          <w:lang w:eastAsia="pt-BR"/>
          <w14:ligatures w14:val="none"/>
        </w:rPr>
        <w:t>TIC :</w:t>
      </w:r>
      <w:proofErr w:type="gramEnd"/>
      <w:r w:rsidRPr="00C07882">
        <w:rPr>
          <w:rFonts w:ascii="Arial" w:eastAsia="Times New Roman" w:hAnsi="Arial" w:cs="Arial"/>
          <w:b/>
          <w:bCs/>
          <w:color w:val="500050"/>
          <w:kern w:val="0"/>
          <w:sz w:val="24"/>
          <w:szCs w:val="24"/>
          <w:shd w:val="clear" w:color="auto" w:fill="FFFFFF"/>
          <w:lang w:eastAsia="pt-BR"/>
          <w14:ligatures w14:val="none"/>
        </w:rPr>
        <w:t xml:space="preserve"> 6.3. Requisitos do sistema de gerenciamento de impressão, controle de cotas e de bilhetagem: f) Deve permitir compartilhamento de cotas entre os usuários de grupo de usuários e entre as impressoras de grupo de impressoras:</w:t>
      </w:r>
      <w:r w:rsidRPr="00C07882">
        <w:rPr>
          <w:rFonts w:ascii="Arial" w:eastAsia="Times New Roman" w:hAnsi="Arial" w:cs="Arial"/>
          <w:color w:val="500050"/>
          <w:kern w:val="0"/>
          <w:sz w:val="24"/>
          <w:szCs w:val="24"/>
          <w:shd w:val="clear" w:color="auto" w:fill="FFFFFF"/>
          <w:lang w:eastAsia="pt-BR"/>
          <w14:ligatures w14:val="none"/>
        </w:rPr>
        <w:t xml:space="preserve"> a divisão de cotas entre os usuários faz muito sentido, mas a cota entre impressoras não. </w:t>
      </w:r>
      <w:proofErr w:type="gramStart"/>
      <w:r w:rsidRPr="00C07882">
        <w:rPr>
          <w:rFonts w:ascii="Arial" w:eastAsia="Times New Roman" w:hAnsi="Arial" w:cs="Arial"/>
          <w:color w:val="500050"/>
          <w:kern w:val="0"/>
          <w:sz w:val="24"/>
          <w:szCs w:val="24"/>
          <w:shd w:val="clear" w:color="auto" w:fill="FFFFFF"/>
          <w:lang w:eastAsia="pt-BR"/>
          <w14:ligatures w14:val="none"/>
        </w:rPr>
        <w:t>Por que</w:t>
      </w:r>
      <w:proofErr w:type="gramEnd"/>
      <w:r w:rsidRPr="00C07882">
        <w:rPr>
          <w:rFonts w:ascii="Arial" w:eastAsia="Times New Roman" w:hAnsi="Arial" w:cs="Arial"/>
          <w:color w:val="500050"/>
          <w:kern w:val="0"/>
          <w:sz w:val="24"/>
          <w:szCs w:val="24"/>
          <w:shd w:val="clear" w:color="auto" w:fill="FFFFFF"/>
          <w:lang w:eastAsia="pt-BR"/>
          <w14:ligatures w14:val="none"/>
        </w:rPr>
        <w:t>? A definição de cotas oferece maior clareza e controle sobre o uso de recursos de impressão. Isso, evita potenciais conflitos entre usuários do mesmo grupo, que poderiam ocorrer se as cotas fossem compartilhas com as impressoras, resultando em uma utilização desigual e competição por recursos limitados. Solicitamos a administração pública, alterar o “compartilhamento” para “definição”. Podemos seguir com esse entendimento?</w:t>
      </w:r>
    </w:p>
    <w:p w14:paraId="42170E2D"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1F4E79"/>
          <w:kern w:val="0"/>
          <w:sz w:val="24"/>
          <w:szCs w:val="24"/>
          <w:lang w:eastAsia="pt-BR"/>
          <w14:ligatures w14:val="none"/>
        </w:rPr>
        <w:t>RESPOSTA: Sim. A alteração proposta para definir cotas individuais em vez de compartilhá-las entre as impressoras visa fortalecer a transparência e a equidade no processo de licitação. Dessa forma, garantimos que todos os licitantes tenham as mesmas condições de participação, sem favorecer ou prejudicar qualquer um deles. Além disso, essa medida proporciona uma gestão mais eficiente dos recursos de impressão, promovendo uma utilização racional e controlada. Portanto, a adaptação do Termo de Referência para definir cotas individuais é uma decisão estratégica que visa melhorar a operacionalidade do processo sem comprometer a competitividade ou os interesses da administração pública.</w:t>
      </w:r>
    </w:p>
    <w:p w14:paraId="0987A007"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222222"/>
          <w:kern w:val="0"/>
          <w:sz w:val="24"/>
          <w:szCs w:val="24"/>
          <w:lang w:eastAsia="pt-BR"/>
          <w14:ligatures w14:val="none"/>
        </w:rPr>
        <w:t> </w:t>
      </w:r>
    </w:p>
    <w:p w14:paraId="3312F18E"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222222"/>
          <w:kern w:val="0"/>
          <w:sz w:val="24"/>
          <w:szCs w:val="24"/>
          <w:lang w:eastAsia="pt-BR"/>
          <w14:ligatures w14:val="none"/>
        </w:rPr>
        <w:t> </w:t>
      </w:r>
    </w:p>
    <w:p w14:paraId="78C99339"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222222"/>
          <w:kern w:val="0"/>
          <w:sz w:val="24"/>
          <w:szCs w:val="24"/>
          <w:lang w:eastAsia="pt-BR"/>
          <w14:ligatures w14:val="none"/>
        </w:rPr>
        <w:t> </w:t>
      </w:r>
    </w:p>
    <w:p w14:paraId="6821EC36" w14:textId="77777777"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sidRPr="00C07882">
        <w:rPr>
          <w:rFonts w:ascii="Arial" w:eastAsia="Times New Roman" w:hAnsi="Arial" w:cs="Arial"/>
          <w:color w:val="666666"/>
          <w:kern w:val="0"/>
          <w:sz w:val="24"/>
          <w:szCs w:val="24"/>
          <w:lang w:eastAsia="pt-BR"/>
          <w14:ligatures w14:val="none"/>
        </w:rPr>
        <w:t>Atenciosamente,</w:t>
      </w:r>
    </w:p>
    <w:p w14:paraId="786FD338" w14:textId="77777777" w:rsidR="00C07882" w:rsidRDefault="00C07882" w:rsidP="00C07882">
      <w:pPr>
        <w:shd w:val="clear" w:color="auto" w:fill="FFFFFF"/>
        <w:spacing w:after="0" w:line="240" w:lineRule="auto"/>
        <w:rPr>
          <w:rFonts w:ascii="Arial" w:eastAsia="Times New Roman" w:hAnsi="Arial" w:cs="Arial"/>
          <w:color w:val="666666"/>
          <w:kern w:val="0"/>
          <w:sz w:val="24"/>
          <w:szCs w:val="24"/>
          <w:lang w:eastAsia="pt-BR"/>
          <w14:ligatures w14:val="none"/>
        </w:rPr>
      </w:pPr>
      <w:r w:rsidRPr="00C07882">
        <w:rPr>
          <w:rFonts w:ascii="Arial" w:eastAsia="Times New Roman" w:hAnsi="Arial" w:cs="Arial"/>
          <w:color w:val="666666"/>
          <w:kern w:val="0"/>
          <w:sz w:val="24"/>
          <w:szCs w:val="24"/>
          <w:lang w:eastAsia="pt-BR"/>
          <w14:ligatures w14:val="none"/>
        </w:rPr>
        <w:t> </w:t>
      </w:r>
    </w:p>
    <w:p w14:paraId="25F84333" w14:textId="4CAF8AE4" w:rsidR="00C07882" w:rsidRDefault="00C07882" w:rsidP="00C07882">
      <w:pPr>
        <w:shd w:val="clear" w:color="auto" w:fill="FFFFFF"/>
        <w:spacing w:after="0" w:line="240" w:lineRule="auto"/>
        <w:rPr>
          <w:rFonts w:ascii="Arial" w:eastAsia="Times New Roman" w:hAnsi="Arial" w:cs="Arial"/>
          <w:color w:val="666666"/>
          <w:kern w:val="0"/>
          <w:sz w:val="24"/>
          <w:szCs w:val="24"/>
          <w:lang w:eastAsia="pt-BR"/>
          <w14:ligatures w14:val="none"/>
        </w:rPr>
      </w:pPr>
      <w:r>
        <w:rPr>
          <w:rFonts w:ascii="Arial" w:eastAsia="Times New Roman" w:hAnsi="Arial" w:cs="Arial"/>
          <w:color w:val="666666"/>
          <w:kern w:val="0"/>
          <w:sz w:val="24"/>
          <w:szCs w:val="24"/>
          <w:lang w:eastAsia="pt-BR"/>
          <w14:ligatures w14:val="none"/>
        </w:rPr>
        <w:t>Mário Augusto V. Teixeira</w:t>
      </w:r>
    </w:p>
    <w:p w14:paraId="3D4E3FDA" w14:textId="0C7F18A6" w:rsidR="00C07882" w:rsidRPr="00C07882" w:rsidRDefault="00C07882" w:rsidP="00C07882">
      <w:pPr>
        <w:shd w:val="clear" w:color="auto" w:fill="FFFFFF"/>
        <w:spacing w:after="0" w:line="240" w:lineRule="auto"/>
        <w:rPr>
          <w:rFonts w:ascii="Arial" w:eastAsia="Times New Roman" w:hAnsi="Arial" w:cs="Arial"/>
          <w:color w:val="222222"/>
          <w:kern w:val="0"/>
          <w:sz w:val="24"/>
          <w:szCs w:val="24"/>
          <w:lang w:eastAsia="pt-BR"/>
          <w14:ligatures w14:val="none"/>
        </w:rPr>
      </w:pPr>
      <w:r>
        <w:rPr>
          <w:rFonts w:ascii="Arial" w:eastAsia="Times New Roman" w:hAnsi="Arial" w:cs="Arial"/>
          <w:color w:val="666666"/>
          <w:kern w:val="0"/>
          <w:sz w:val="24"/>
          <w:szCs w:val="24"/>
          <w:lang w:eastAsia="pt-BR"/>
          <w14:ligatures w14:val="none"/>
        </w:rPr>
        <w:t>Pregoeiro</w:t>
      </w:r>
    </w:p>
    <w:sectPr w:rsidR="00C07882" w:rsidRPr="00C078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82"/>
    <w:rsid w:val="0085010B"/>
    <w:rsid w:val="009F5900"/>
    <w:rsid w:val="00C07882"/>
    <w:rsid w:val="00E73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457"/>
  <w15:chartTrackingRefBased/>
  <w15:docId w15:val="{A20D5A10-B502-40AE-9F58-E11C34F8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C58543C5CB2249BC8B73FF977574D2" ma:contentTypeVersion="13" ma:contentTypeDescription="Crie um novo documento." ma:contentTypeScope="" ma:versionID="3064d2dbd14b03750d9bad8b9a228d35">
  <xsd:schema xmlns:xsd="http://www.w3.org/2001/XMLSchema" xmlns:xs="http://www.w3.org/2001/XMLSchema" xmlns:p="http://schemas.microsoft.com/office/2006/metadata/properties" xmlns:ns2="3647141f-eb51-4d96-ad95-85dbd3c11e0c" xmlns:ns3="881799d5-dac0-49ad-aea0-bb10e4a837e8" targetNamespace="http://schemas.microsoft.com/office/2006/metadata/properties" ma:root="true" ma:fieldsID="1e4f737aa9dcb1a2f77f5b96d25145ea" ns2:_="" ns3:_="">
    <xsd:import namespace="3647141f-eb51-4d96-ad95-85dbd3c11e0c"/>
    <xsd:import namespace="881799d5-dac0-49ad-aea0-bb10e4a83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7141f-eb51-4d96-ad95-85dbd3c11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a5666d2-e053-4fc7-ac89-f56e06db9d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799d5-dac0-49ad-aea0-bb10e4a83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ea8ac8-59fd-45c5-86cd-b7e83821133c}" ma:internalName="TaxCatchAll" ma:showField="CatchAllData" ma:web="881799d5-dac0-49ad-aea0-bb10e4a83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47141f-eb51-4d96-ad95-85dbd3c11e0c">
      <Terms xmlns="http://schemas.microsoft.com/office/infopath/2007/PartnerControls"/>
    </lcf76f155ced4ddcb4097134ff3c332f>
    <TaxCatchAll xmlns="881799d5-dac0-49ad-aea0-bb10e4a837e8" xsi:nil="true"/>
  </documentManagement>
</p:properties>
</file>

<file path=customXml/itemProps1.xml><?xml version="1.0" encoding="utf-8"?>
<ds:datastoreItem xmlns:ds="http://schemas.openxmlformats.org/officeDocument/2006/customXml" ds:itemID="{1FA003AC-745B-413A-AAEB-54131560937E}"/>
</file>

<file path=customXml/itemProps2.xml><?xml version="1.0" encoding="utf-8"?>
<ds:datastoreItem xmlns:ds="http://schemas.openxmlformats.org/officeDocument/2006/customXml" ds:itemID="{B1785F39-D034-4035-BC43-F1DC2D1F2DE4}"/>
</file>

<file path=customXml/itemProps3.xml><?xml version="1.0" encoding="utf-8"?>
<ds:datastoreItem xmlns:ds="http://schemas.openxmlformats.org/officeDocument/2006/customXml" ds:itemID="{E64F7000-E898-429D-8927-E1AC1BA2A708}"/>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4256</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Augusto Vasconcelos Teixeira</dc:creator>
  <cp:keywords/>
  <dc:description/>
  <cp:lastModifiedBy>Mário Augusto Vasconcelos Teixeira</cp:lastModifiedBy>
  <cp:revision>1</cp:revision>
  <dcterms:created xsi:type="dcterms:W3CDTF">2024-06-24T15:46:00Z</dcterms:created>
  <dcterms:modified xsi:type="dcterms:W3CDTF">2024-06-24T15:49:00Z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0x010100B6C58543C5CB2249BC8B73FF977574D2</vt:lpwstr>
  </property>
</Properties>
</file>